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082908" w:rsidRDefault="00082908">
      <w:pPr>
        <w:rPr>
          <w:rFonts w:ascii="Times New Roman" w:hAnsi="Times New Roman"/>
          <w:sz w:val="16"/>
          <w:szCs w:val="16"/>
          <w:lang w:val="ro-RO"/>
        </w:rPr>
      </w:pPr>
    </w:p>
    <w:p w:rsidR="00F2145E" w:rsidRDefault="00F2145E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F2145E" w:rsidRDefault="00F2145E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F2145E" w:rsidRDefault="00F2145E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F2145E" w:rsidRDefault="00F2145E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F2145E" w:rsidRDefault="00F2145E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F2145E" w:rsidRDefault="00F2145E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8866D8" w:rsidRPr="00540EE9" w:rsidRDefault="00082908" w:rsidP="00082908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540EE9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F2145E" w:rsidRDefault="00F2145E" w:rsidP="00082908">
      <w:pPr>
        <w:spacing w:before="240"/>
        <w:jc w:val="center"/>
        <w:rPr>
          <w:rFonts w:ascii="Gabriola" w:hAnsi="Gabriola"/>
          <w:b/>
          <w:sz w:val="40"/>
          <w:szCs w:val="40"/>
          <w:lang w:val="ro-RO"/>
        </w:rPr>
      </w:pPr>
    </w:p>
    <w:p w:rsidR="00F2145E" w:rsidRDefault="008866D8" w:rsidP="00082908">
      <w:pPr>
        <w:spacing w:before="240"/>
        <w:jc w:val="center"/>
        <w:rPr>
          <w:rFonts w:ascii="Gabriola" w:hAnsi="Gabriola"/>
          <w:b/>
          <w:sz w:val="40"/>
          <w:szCs w:val="40"/>
          <w:lang w:val="ro-RO"/>
        </w:rPr>
      </w:pPr>
      <w:r w:rsidRPr="008A3ECE">
        <w:rPr>
          <w:rFonts w:ascii="Gabriola" w:hAnsi="Gabriola"/>
          <w:b/>
          <w:sz w:val="40"/>
          <w:szCs w:val="40"/>
          <w:lang w:val="ro-RO"/>
        </w:rPr>
        <w:t>Pe patru coloane, corect, în grecește, după Septuaginta, după Sfânta Scriptură, după Psaltirea apărută cu binecuvântarea Bisericii Ortodoxe Grecești</w:t>
      </w:r>
      <w:r w:rsidR="00082908" w:rsidRPr="008A3ECE">
        <w:rPr>
          <w:rFonts w:ascii="Gabriola" w:hAnsi="Gabriola"/>
          <w:b/>
          <w:sz w:val="40"/>
          <w:szCs w:val="40"/>
          <w:lang w:val="ro-RO"/>
        </w:rPr>
        <w:t>;</w:t>
      </w:r>
      <w:r w:rsidRPr="008A3ECE">
        <w:rPr>
          <w:rFonts w:ascii="Gabriola" w:hAnsi="Gabriola"/>
          <w:b/>
          <w:sz w:val="40"/>
          <w:szCs w:val="40"/>
          <w:lang w:val="ro-RO"/>
        </w:rPr>
        <w:t xml:space="preserve"> și în românește</w:t>
      </w:r>
      <w:r w:rsidR="00082908" w:rsidRPr="008A3ECE">
        <w:rPr>
          <w:rFonts w:ascii="Gabriola" w:hAnsi="Gabriola"/>
          <w:b/>
          <w:sz w:val="40"/>
          <w:szCs w:val="40"/>
          <w:lang w:val="ro-RO"/>
        </w:rPr>
        <w:t>, după Sfânta Scriptură, după Psaltirea apărută cu binecuvântarea Bisericii Ortodoxe Române până la 1914</w:t>
      </w: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P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Default="00F2145E" w:rsidP="00F2145E">
      <w:pPr>
        <w:rPr>
          <w:rFonts w:ascii="Gabriola" w:hAnsi="Gabriola"/>
          <w:sz w:val="40"/>
          <w:szCs w:val="40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8437D7" w:rsidRDefault="008437D7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8437D7" w:rsidRDefault="008437D7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8437D7" w:rsidRDefault="008437D7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7363A4" w:rsidRP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  <w:r w:rsidRPr="00F2145E">
        <w:rPr>
          <w:rFonts w:ascii="Gabriola" w:hAnsi="Gabriola"/>
          <w:sz w:val="36"/>
          <w:szCs w:val="36"/>
          <w:lang w:val="ro-RO"/>
        </w:rPr>
        <w:t>SFÂNTUL MUNTE ATHOS</w:t>
      </w:r>
    </w:p>
    <w:p w:rsidR="00F2145E" w:rsidRDefault="00F2145E" w:rsidP="00F2145E">
      <w:pPr>
        <w:jc w:val="center"/>
        <w:rPr>
          <w:rFonts w:ascii="Gabriola" w:hAnsi="Gabriola"/>
          <w:sz w:val="36"/>
          <w:szCs w:val="36"/>
          <w:lang w:val="ro-RO"/>
        </w:rPr>
      </w:pPr>
      <w:r w:rsidRPr="00F2145E">
        <w:rPr>
          <w:rFonts w:ascii="Gabriola" w:hAnsi="Gabriola"/>
          <w:sz w:val="36"/>
          <w:szCs w:val="36"/>
          <w:lang w:val="ro-RO"/>
        </w:rPr>
        <w:t>2013</w:t>
      </w: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8437D7" w:rsidRDefault="008437D7" w:rsidP="008437D7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8437D7" w:rsidRPr="00FD7DC4" w:rsidRDefault="008437D7" w:rsidP="008437D7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8437D7" w:rsidRPr="00FD7DC4" w:rsidRDefault="008437D7" w:rsidP="008437D7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B4922" w:rsidRDefault="008437D7" w:rsidP="008437D7">
      <w:pPr>
        <w:jc w:val="right"/>
        <w:rPr>
          <w:rFonts w:ascii="Gabriola" w:hAnsi="Gabriola"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Pr="00607307" w:rsidRDefault="00FB4922" w:rsidP="00FB4922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Ελληνικό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>Αλφάβητο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o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FB4922" w:rsidRPr="000D2D0C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FB4922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FB4922" w:rsidRPr="00607307" w:rsidRDefault="00FB4922" w:rsidP="00FB4922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FB4922" w:rsidRPr="00607307" w:rsidRDefault="00FB4922" w:rsidP="00FB4922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FB4922" w:rsidRPr="00607307" w:rsidRDefault="00FB4922" w:rsidP="00FB4922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FB4922" w:rsidRPr="00607307" w:rsidRDefault="00FB4922" w:rsidP="00FB4922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FB4922" w:rsidRPr="00FB4922" w:rsidRDefault="00FB4922" w:rsidP="00FB4922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FB492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FB492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FB492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FB492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FB4922" w:rsidRPr="00607307" w:rsidRDefault="00FB4922" w:rsidP="00FB4922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tis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proofErr w:type="spellEnd"/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  <w:proofErr w:type="spellEnd"/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Συνδυασμός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γραμμάτων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Προφορά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  <w:proofErr w:type="spellEnd"/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</w:t>
      </w:r>
      <w:proofErr w:type="spellEnd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litere</w:t>
      </w:r>
      <w:proofErr w:type="spellEnd"/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αι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e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ai</w:t>
      </w:r>
      <w:proofErr w:type="spellEnd"/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  <w:proofErr w:type="spellEnd"/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ει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-</w:t>
      </w:r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εϊ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ei</w:t>
      </w:r>
      <w:proofErr w:type="spellEnd"/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ευ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FB4922" w:rsidRPr="00607307" w:rsidRDefault="00FB4922" w:rsidP="00FB4922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αυ</w:t>
      </w:r>
      <w:proofErr w:type="spellEnd"/>
      <w:proofErr w:type="gram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ευ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>ηυ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ef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(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înaintea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consoanelor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: θ, κ, ξ, π, τ, φ, χ, ψ)                     </w:t>
      </w:r>
    </w:p>
    <w:p w:rsidR="00FB4922" w:rsidRPr="00607307" w:rsidRDefault="00FB4922" w:rsidP="00FB4922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FB4922" w:rsidRPr="00607307" w:rsidRDefault="00FB4922" w:rsidP="00FB4922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p w:rsidR="00FB4922" w:rsidRPr="00F2145E" w:rsidRDefault="00FB4922" w:rsidP="00F2145E">
      <w:pPr>
        <w:jc w:val="center"/>
        <w:rPr>
          <w:rFonts w:ascii="Gabriola" w:hAnsi="Gabriola"/>
          <w:sz w:val="36"/>
          <w:szCs w:val="36"/>
          <w:lang w:val="ro-RO"/>
        </w:rPr>
      </w:pPr>
    </w:p>
    <w:sectPr w:rsidR="00FB4922" w:rsidRPr="00F2145E" w:rsidSect="00FB492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66D8"/>
    <w:rsid w:val="00082908"/>
    <w:rsid w:val="002D0794"/>
    <w:rsid w:val="00427BB5"/>
    <w:rsid w:val="00540EE9"/>
    <w:rsid w:val="00554D5C"/>
    <w:rsid w:val="00665047"/>
    <w:rsid w:val="007363A4"/>
    <w:rsid w:val="008437D7"/>
    <w:rsid w:val="008866D8"/>
    <w:rsid w:val="008A3ECE"/>
    <w:rsid w:val="00B176CF"/>
    <w:rsid w:val="00F2145E"/>
    <w:rsid w:val="00FB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FB4922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FB4922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FB492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6</cp:revision>
  <cp:lastPrinted>2013-08-01T17:05:00Z</cp:lastPrinted>
  <dcterms:created xsi:type="dcterms:W3CDTF">2013-07-31T11:18:00Z</dcterms:created>
  <dcterms:modified xsi:type="dcterms:W3CDTF">2013-08-24T09:53:00Z</dcterms:modified>
</cp:coreProperties>
</file>